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DA87F" w14:textId="77777777" w:rsidR="00E92989" w:rsidRDefault="00000000">
      <w:pPr>
        <w:pStyle w:val="Nadpis1"/>
        <w:keepNext w:val="0"/>
        <w:keepLines w:val="0"/>
        <w:spacing w:before="480"/>
        <w:jc w:val="both"/>
        <w:rPr>
          <w:b/>
          <w:bCs/>
          <w:sz w:val="34"/>
          <w:szCs w:val="34"/>
        </w:rPr>
      </w:pPr>
      <w:r>
        <w:rPr>
          <w:b/>
          <w:bCs/>
          <w:sz w:val="34"/>
          <w:szCs w:val="34"/>
        </w:rPr>
        <w:t>Čti za nároďák! Česko spouští kampaň, která dává čtení nový jazyk i energii. Jedna stránka denně stačí k tomu stát se reprezentantem</w:t>
      </w:r>
    </w:p>
    <w:p w14:paraId="39B5E0AF" w14:textId="77794E47" w:rsidR="00E92989" w:rsidRDefault="00000000">
      <w:pPr>
        <w:spacing w:before="240" w:after="240"/>
        <w:jc w:val="both"/>
        <w:rPr>
          <w:b/>
          <w:bCs/>
        </w:rPr>
      </w:pPr>
      <w:r>
        <w:t>Praha, 2</w:t>
      </w:r>
      <w:r w:rsidR="00550D73">
        <w:t>4</w:t>
      </w:r>
      <w:r>
        <w:t>. dubna 2026 –</w:t>
      </w:r>
      <w:r>
        <w:rPr>
          <w:b/>
          <w:bCs/>
        </w:rPr>
        <w:t xml:space="preserve"> Podle dat Evropské federace nakladatelů polovina dospělých Evropanů dnes vůbec nečte</w:t>
      </w:r>
      <w:r>
        <w:rPr>
          <w:b/>
          <w:bCs/>
          <w:vertAlign w:val="superscript"/>
        </w:rPr>
        <w:footnoteReference w:id="1"/>
      </w:r>
      <w:r>
        <w:rPr>
          <w:b/>
          <w:bCs/>
        </w:rPr>
        <w:t>. Přestože výzkumy ukazují, že pravidelní čtenáři žijí v průměru o dva roky déle</w:t>
      </w:r>
      <w:r>
        <w:rPr>
          <w:b/>
          <w:bCs/>
          <w:vertAlign w:val="superscript"/>
        </w:rPr>
        <w:footnoteReference w:id="2"/>
      </w:r>
      <w:r>
        <w:rPr>
          <w:b/>
          <w:bCs/>
        </w:rPr>
        <w:t xml:space="preserve">. V Česku na to reaguje osvětová kampaň Čti za </w:t>
      </w:r>
      <w:proofErr w:type="gramStart"/>
      <w:r>
        <w:rPr>
          <w:b/>
          <w:bCs/>
        </w:rPr>
        <w:t>nároďák!,</w:t>
      </w:r>
      <w:proofErr w:type="gramEnd"/>
      <w:r>
        <w:rPr>
          <w:b/>
          <w:bCs/>
        </w:rPr>
        <w:t xml:space="preserve"> která startuje během dubna. Ta je iniciovaná Svazem českých knihkupců a nakladatelů a podporovaná partnery napříč celým sektorem. Záměrem je ukázat, že čtení je moderní aktivita, která patří do každodenního života. Důležité je číst pro radost, neexistuje univerzální recept, každý má svůj rituál, místo, oblíbený žánr nebo formát. Stačí začít. Stačí jedna stránka denně.</w:t>
      </w:r>
    </w:p>
    <w:p w14:paraId="11797D88" w14:textId="77777777" w:rsidR="00E92989" w:rsidRDefault="00000000">
      <w:pPr>
        <w:spacing w:before="240" w:after="240"/>
        <w:jc w:val="both"/>
      </w:pPr>
      <w:r>
        <w:t>Kampaň stojí na jednoduché, ale silné myšlence: čtení jako nový národní sport. Primárním měřítkem úspěchu přitom není výkon ani počet přečtených knih. Kampaň chce především dlouhodobě podpořit tvorbu pozitivních návyků a připomenout Čechům, že čtení je zejména o radosti a o zážitku. Stejně jako ve sportu. Každodenní čtenářský „trénink“, se tak otevírá skutečně komukoli, a to bez ohledu na věk, zkušenosti nebo tempo. Někdo čte romány, jiný knihy o osobním rozvoji nebo vzdělávací literaturu, další sáhne po krátkém textu. Kdokoli může být reprezentant. Důležité je začít. Stačí i pár minut denně.</w:t>
      </w:r>
    </w:p>
    <w:p w14:paraId="7CD189B8" w14:textId="77777777" w:rsidR="00E92989" w:rsidRDefault="00000000">
      <w:pPr>
        <w:spacing w:before="240" w:after="240"/>
        <w:jc w:val="both"/>
        <w:rPr>
          <w:i/>
          <w:iCs/>
        </w:rPr>
      </w:pPr>
      <w:r>
        <w:rPr>
          <w:i/>
          <w:iCs/>
        </w:rPr>
        <w:t>„Čtení není jen kulturní aktivita, ale základní nástroj, jak porozumět světu i sobě samým. Osobně mi čtení dává mnohem víc klidu než třeba sledování filmů. Není úplně snadné si ten čas vyhradit, ale vždycky se mi to vyplatí. Jednak tak dostávám potravu pro svou mysl, jednak se pak cítím odpočinutý a obohacený. Pokud chceme jako společnost obstát, potřebujeme čtení vrátit zpět do každodenního života. Přirozeně, bez tlaku, ale s vědomím jeho zásadního významu. Knihy nás totiž udržují bystrými i zdravými. Například lidé, kteří pravidelně čtou, žijí v průměru o 23 měsíců déle než ti, kteří nečtou vůbec,“</w:t>
      </w:r>
      <w:r>
        <w:t xml:space="preserve"> říká </w:t>
      </w:r>
      <w:r>
        <w:rPr>
          <w:b/>
          <w:bCs/>
        </w:rPr>
        <w:t xml:space="preserve">Ing. Martin </w:t>
      </w:r>
      <w:proofErr w:type="spellStart"/>
      <w:r>
        <w:rPr>
          <w:b/>
          <w:bCs/>
        </w:rPr>
        <w:t>Vopěnka</w:t>
      </w:r>
      <w:proofErr w:type="spellEnd"/>
      <w:r>
        <w:t>, spisovatel a předseda Svazu českých knihkupců a nakladatelů.</w:t>
      </w:r>
    </w:p>
    <w:p w14:paraId="0D9D4458" w14:textId="77777777" w:rsidR="00E92989" w:rsidRDefault="00000000">
      <w:pPr>
        <w:spacing w:before="240" w:after="240"/>
        <w:jc w:val="both"/>
        <w:rPr>
          <w:b/>
          <w:bCs/>
          <w:sz w:val="24"/>
          <w:szCs w:val="24"/>
        </w:rPr>
      </w:pPr>
      <w:r>
        <w:rPr>
          <w:b/>
          <w:bCs/>
          <w:sz w:val="24"/>
          <w:szCs w:val="24"/>
        </w:rPr>
        <w:t>Benefity napříč generacemi</w:t>
      </w:r>
    </w:p>
    <w:p w14:paraId="6553980B" w14:textId="77777777" w:rsidR="00E92989" w:rsidRDefault="00000000">
      <w:pPr>
        <w:spacing w:before="240" w:after="240"/>
        <w:jc w:val="both"/>
        <w:rPr>
          <w:rFonts w:ascii="Roboto" w:eastAsia="Roboto" w:hAnsi="Roboto" w:cs="Roboto"/>
          <w:i/>
          <w:iCs/>
          <w:color w:val="444746"/>
          <w:sz w:val="21"/>
          <w:szCs w:val="21"/>
        </w:rPr>
      </w:pPr>
      <w:r>
        <w:t>Aktuální průzkumy potvrzují, že má čtení dlouhodobé a měřitelné pozitivní dopady na kvalitu života bez ohledu na životní fázi, v které se nacházíme</w:t>
      </w:r>
      <w:r>
        <w:rPr>
          <w:rFonts w:ascii="Roboto" w:eastAsia="Roboto" w:hAnsi="Roboto" w:cs="Roboto"/>
          <w:i/>
          <w:iCs/>
          <w:color w:val="444746"/>
          <w:sz w:val="21"/>
          <w:szCs w:val="21"/>
        </w:rPr>
        <w:t xml:space="preserve">. </w:t>
      </w:r>
    </w:p>
    <w:p w14:paraId="52FCC10D" w14:textId="77777777" w:rsidR="00E92989" w:rsidRDefault="00000000">
      <w:pPr>
        <w:spacing w:before="240" w:after="240"/>
        <w:jc w:val="both"/>
        <w:rPr>
          <w:i/>
          <w:iCs/>
        </w:rPr>
      </w:pPr>
      <w:r>
        <w:rPr>
          <w:i/>
          <w:iCs/>
        </w:rPr>
        <w:t xml:space="preserve">„Čtení je takový pomyslný lístek se slevou do celého světa. Protože se mozek při četbě zapojuje komplexně, procvičujeme centra pro jazyk, paměť, emoce i rozhodování. Pravidelné </w:t>
      </w:r>
      <w:r>
        <w:rPr>
          <w:i/>
          <w:iCs/>
        </w:rPr>
        <w:lastRenderedPageBreak/>
        <w:t>čtení tak posiluje nejen kognitivní schopnosti, ale i naši odolnost vůči stresu a schopnost porozumět druhým,“</w:t>
      </w:r>
      <w:r>
        <w:t xml:space="preserve"> vysvětluje neurolog </w:t>
      </w:r>
      <w:r>
        <w:rPr>
          <w:b/>
          <w:bCs/>
        </w:rPr>
        <w:t>MUDr. Martin Jan Stránský, MD, FACP.</w:t>
      </w:r>
    </w:p>
    <w:p w14:paraId="4586EE82" w14:textId="77777777" w:rsidR="00E92989" w:rsidRDefault="00000000">
      <w:pPr>
        <w:spacing w:before="240" w:after="240"/>
        <w:jc w:val="both"/>
      </w:pPr>
      <w:r>
        <w:t>Například u dětí se čtení promítá do lepších školních výsledků. Společné čtení rodičů s dětmi v předškolním věku vede k výrazně vyššímu rozvoji jazyka, a to až s přibližně osmiměsíčním náskokem oproti vrstevníkům</w:t>
      </w:r>
      <w:r>
        <w:rPr>
          <w:vertAlign w:val="superscript"/>
        </w:rPr>
        <w:footnoteReference w:id="3"/>
      </w:r>
      <w:r>
        <w:t>. U seniorů, kteří čtou alespoň jednou týdně, se zase navíc ukazuje až o 46 % nižší pravděpodobnost kognitivního úpadku v následujících letech</w:t>
      </w:r>
      <w:r>
        <w:rPr>
          <w:vertAlign w:val="superscript"/>
        </w:rPr>
        <w:footnoteReference w:id="4"/>
      </w:r>
      <w:r>
        <w:t>.</w:t>
      </w:r>
    </w:p>
    <w:p w14:paraId="6478C272" w14:textId="77777777" w:rsidR="00E92989" w:rsidRDefault="00000000">
      <w:pPr>
        <w:spacing w:before="240" w:after="240"/>
        <w:jc w:val="both"/>
        <w:rPr>
          <w:b/>
          <w:bCs/>
          <w:sz w:val="24"/>
          <w:szCs w:val="24"/>
        </w:rPr>
      </w:pPr>
      <w:r>
        <w:t xml:space="preserve">Vedle kognitivních přínosů hraje čtení zásadní roli i v oblasti emocí a mezilidských vztahů. </w:t>
      </w:r>
      <w:r>
        <w:rPr>
          <w:i/>
          <w:iCs/>
        </w:rPr>
        <w:t xml:space="preserve">„Při čtení můj mozek funguje jinak. Protože slova vidím před sebou, můžu o nich víc přemýšlet. V hlavě se mi zároveň tvoří obrazy, které jsou jenom moje. Při tom nahlížím do hlav a pocitů jiných lidí. Čtením se tak učíme se do lidí vžívat a adaptovat se na jiné perspektivy. Právě tahle schopnost, vcítění a porozumění, je velice důležitá pro fungující společnost. A dobrou zprávou je, že ji můžeme trénovat každý den, třeba jen pár stránkami,“ </w:t>
      </w:r>
      <w:r>
        <w:t xml:space="preserve">doplňuje vědkyně </w:t>
      </w:r>
      <w:r>
        <w:rPr>
          <w:b/>
          <w:bCs/>
        </w:rPr>
        <w:t xml:space="preserve">Mgr. Anežka </w:t>
      </w:r>
      <w:proofErr w:type="spellStart"/>
      <w:r>
        <w:rPr>
          <w:b/>
          <w:bCs/>
        </w:rPr>
        <w:t>Kuzmičová</w:t>
      </w:r>
      <w:proofErr w:type="spellEnd"/>
      <w:r>
        <w:rPr>
          <w:b/>
          <w:bCs/>
        </w:rPr>
        <w:t>, Ph.D.</w:t>
      </w:r>
    </w:p>
    <w:p w14:paraId="07C88BB9" w14:textId="77777777" w:rsidR="00E92989" w:rsidRDefault="00000000">
      <w:pPr>
        <w:spacing w:before="240" w:after="240"/>
        <w:jc w:val="both"/>
        <w:rPr>
          <w:b/>
          <w:bCs/>
          <w:sz w:val="24"/>
          <w:szCs w:val="24"/>
        </w:rPr>
      </w:pPr>
      <w:r>
        <w:rPr>
          <w:b/>
          <w:bCs/>
          <w:sz w:val="24"/>
          <w:szCs w:val="24"/>
        </w:rPr>
        <w:t>Čtení pro radost</w:t>
      </w:r>
    </w:p>
    <w:p w14:paraId="33A4F8CC" w14:textId="77777777" w:rsidR="00E92989" w:rsidRDefault="00000000">
      <w:pPr>
        <w:spacing w:before="240" w:after="240"/>
        <w:jc w:val="both"/>
      </w:pPr>
      <w:r>
        <w:t>Kampaň vychází z jednoduchého zjištění – většina lidí vnímá čtení pozitivně. Často ovšem následuje „ale“. Pocit, že na něj potřebujeme více času, soustředění nebo že je spojené spíš s povinností než potěšením. Právě na to kampaň reaguje. Ukazuje čtení jako zdroj radosti v každodenním životě a zároveň legitimizuje různé čtenářské přístupy. Je naprosto v pořádku číst pomalu, nepravidelně, anebo naopak soustavně. Číst ve vlaku, v knihovně, u lékaře v čekárně… na koberci, v křesle, v posteli… kdykoliv, jakkoliv a kdekoliv. I krátká chvíle věnovaná koncentrované četbě může přinést klid, inspiraci nebo čisté potěšení – a každý si k ní může najít vlastní cestu.</w:t>
      </w:r>
    </w:p>
    <w:p w14:paraId="5AE9739D" w14:textId="77777777" w:rsidR="00E92989" w:rsidRDefault="00000000">
      <w:pPr>
        <w:spacing w:before="240" w:after="240"/>
        <w:jc w:val="both"/>
        <w:rPr>
          <w:i/>
          <w:iCs/>
        </w:rPr>
      </w:pPr>
      <w:r>
        <w:t xml:space="preserve">Do kampaně se zapojují i osobnosti z kulturní či sportovní sféry. Herec a režisér </w:t>
      </w:r>
      <w:r>
        <w:rPr>
          <w:b/>
          <w:bCs/>
        </w:rPr>
        <w:t>Jakub Kohák</w:t>
      </w:r>
      <w:r>
        <w:t xml:space="preserve">, který v projektu vystupuje jako symbolický „trenér čtení“ alias </w:t>
      </w:r>
      <w:proofErr w:type="spellStart"/>
      <w:r>
        <w:t>Knihák</w:t>
      </w:r>
      <w:proofErr w:type="spellEnd"/>
      <w:r>
        <w:t xml:space="preserve">, k tomu říká: </w:t>
      </w:r>
      <w:r>
        <w:rPr>
          <w:i/>
          <w:iCs/>
        </w:rPr>
        <w:t>„Nejsem typ, od kterého byste čekali, že bude mluvit o čtení. Ale právě proto v tom jedu. Čtení není žádná nuda, je to trénink pro naši hlavu. A stejně jako ve sportu platí: stačí začít a vydržet.“</w:t>
      </w:r>
    </w:p>
    <w:p w14:paraId="49052F24" w14:textId="77777777" w:rsidR="00E92989" w:rsidRDefault="00000000">
      <w:pPr>
        <w:spacing w:before="240" w:after="240"/>
        <w:jc w:val="both"/>
      </w:pPr>
      <w:r>
        <w:t xml:space="preserve">Kampaň byla oficiálně zahájena 23. dubna ve </w:t>
      </w:r>
      <w:proofErr w:type="spellStart"/>
      <w:r>
        <w:t>Westfieldu</w:t>
      </w:r>
      <w:proofErr w:type="spellEnd"/>
      <w:r>
        <w:t xml:space="preserve"> Černý Most za účasti odborníků, partnerů i široké veřejnosti. Součástí programu byla tisková konference, vystoupení ambasadorů i interaktivní aktivity pro návštěvníky.</w:t>
      </w:r>
    </w:p>
    <w:p w14:paraId="66EE6180" w14:textId="77777777" w:rsidR="00E92989" w:rsidRDefault="00000000">
      <w:pPr>
        <w:spacing w:before="240" w:after="240"/>
        <w:jc w:val="both"/>
      </w:pPr>
      <w:r>
        <w:t>Čti za nároďák! je koncipována jako dlouhodobá iniciativa, která bude probíhat napříč online i </w:t>
      </w:r>
      <w:proofErr w:type="spellStart"/>
      <w:r>
        <w:t>offline</w:t>
      </w:r>
      <w:proofErr w:type="spellEnd"/>
      <w:r>
        <w:t xml:space="preserve"> prostředím. A to od sociálních sítí a médií až po veřejné akce a spolupráce s partnery. Akce proběhne pod hlavičkou Svazu českých knihkupců a nakladatelů pod záštitou Unie vydavatelů. Do projektu se zároveň zapojují i další významné osobnosti a instituce, mimo jiné Knihovny České republiky nebo Fotbalová asociace České republiky (FAČR) jako strategický partner projektu a garant spolupráce s českým fotbalem. </w:t>
      </w:r>
      <w:r>
        <w:rPr>
          <w:i/>
          <w:iCs/>
        </w:rPr>
        <w:t>„Jsem přesvědčený, že fotbal má sílu inspirovat i mimo hřiště. Projekt Čti za nároďák vnímám jako přirozené propojení sportu a vzdělávání – chceme jít příkladem a ukázat, že rozvoj není jen o tréninku, ale i o tom, co si člověk odnese do života. Pokud dokážeme motivovat děti ke čtení stejně jako ke sportu, má to obrovský smysl,“</w:t>
      </w:r>
      <w:r>
        <w:t xml:space="preserve"> vysvětluje </w:t>
      </w:r>
      <w:r>
        <w:rPr>
          <w:b/>
          <w:bCs/>
        </w:rPr>
        <w:t>David Trunda</w:t>
      </w:r>
      <w:r>
        <w:t xml:space="preserve">, předseda Fotbalové asociace České republiky. </w:t>
      </w:r>
    </w:p>
    <w:p w14:paraId="67F866A4" w14:textId="37A812F8" w:rsidR="00E92989" w:rsidRPr="00550D73" w:rsidRDefault="00000000" w:rsidP="00550D73">
      <w:pPr>
        <w:spacing w:before="240" w:after="240"/>
        <w:jc w:val="both"/>
      </w:pPr>
      <w:r>
        <w:t>Oficiální záštitu akce pro celospolečenský přínos poskytl prezident České republiky Petr Pavel.</w:t>
      </w:r>
    </w:p>
    <w:p w14:paraId="3F86975E" w14:textId="77777777" w:rsidR="00E92989" w:rsidRPr="00550D73" w:rsidRDefault="00000000">
      <w:pPr>
        <w:spacing w:before="240" w:after="240"/>
        <w:rPr>
          <w:b/>
          <w:bCs/>
          <w:i/>
          <w:iCs/>
        </w:rPr>
      </w:pPr>
      <w:r w:rsidRPr="00550D73">
        <w:rPr>
          <w:b/>
          <w:bCs/>
          <w:i/>
          <w:iCs/>
        </w:rPr>
        <w:t>Kontakty pro média:</w:t>
      </w:r>
    </w:p>
    <w:p w14:paraId="2969B94E" w14:textId="77777777" w:rsidR="00E92989" w:rsidRPr="00550D73" w:rsidRDefault="00000000">
      <w:pPr>
        <w:tabs>
          <w:tab w:val="left" w:pos="8647"/>
        </w:tabs>
        <w:ind w:right="425"/>
        <w:rPr>
          <w:i/>
          <w:iCs/>
        </w:rPr>
      </w:pPr>
      <w:r w:rsidRPr="00550D73">
        <w:rPr>
          <w:i/>
          <w:iCs/>
        </w:rPr>
        <w:t>Jana Bartáková</w:t>
      </w:r>
    </w:p>
    <w:p w14:paraId="57F6BC1A" w14:textId="77777777" w:rsidR="00E92989" w:rsidRPr="00550D73" w:rsidRDefault="00E92989">
      <w:pPr>
        <w:tabs>
          <w:tab w:val="left" w:pos="8647"/>
        </w:tabs>
        <w:ind w:right="425"/>
        <w:rPr>
          <w:i/>
          <w:iCs/>
        </w:rPr>
      </w:pPr>
      <w:hyperlink r:id="rId7">
        <w:r w:rsidRPr="00550D73">
          <w:rPr>
            <w:i/>
            <w:iCs/>
          </w:rPr>
          <w:t>jana.bartakova@insighters.cz</w:t>
        </w:r>
      </w:hyperlink>
    </w:p>
    <w:p w14:paraId="2F9B1853" w14:textId="77777777" w:rsidR="00E92989" w:rsidRPr="00550D73" w:rsidRDefault="00000000">
      <w:pPr>
        <w:tabs>
          <w:tab w:val="left" w:pos="8647"/>
        </w:tabs>
        <w:ind w:right="425"/>
        <w:rPr>
          <w:i/>
          <w:iCs/>
        </w:rPr>
      </w:pPr>
      <w:r w:rsidRPr="00550D73">
        <w:rPr>
          <w:i/>
          <w:iCs/>
        </w:rPr>
        <w:t>602 756 387</w:t>
      </w:r>
    </w:p>
    <w:p w14:paraId="6C00EAB0" w14:textId="77777777" w:rsidR="00E92989" w:rsidRPr="00550D73" w:rsidRDefault="00E92989">
      <w:pPr>
        <w:tabs>
          <w:tab w:val="left" w:pos="8647"/>
        </w:tabs>
        <w:ind w:right="425"/>
        <w:rPr>
          <w:i/>
          <w:iCs/>
        </w:rPr>
      </w:pPr>
    </w:p>
    <w:p w14:paraId="7A38472A" w14:textId="77777777" w:rsidR="00E92989" w:rsidRPr="00550D73" w:rsidRDefault="00000000">
      <w:pPr>
        <w:tabs>
          <w:tab w:val="left" w:pos="8647"/>
        </w:tabs>
        <w:ind w:right="425"/>
        <w:rPr>
          <w:i/>
          <w:iCs/>
        </w:rPr>
      </w:pPr>
      <w:r w:rsidRPr="00550D73">
        <w:rPr>
          <w:i/>
          <w:iCs/>
        </w:rPr>
        <w:t>Klára Sochorová</w:t>
      </w:r>
      <w:r w:rsidRPr="00550D73">
        <w:rPr>
          <w:i/>
          <w:iCs/>
        </w:rPr>
        <w:br/>
      </w:r>
      <w:hyperlink r:id="rId8">
        <w:r w:rsidR="00E92989" w:rsidRPr="00550D73">
          <w:rPr>
            <w:i/>
            <w:iCs/>
          </w:rPr>
          <w:t>klara.sochorova@insighters.cz</w:t>
        </w:r>
      </w:hyperlink>
      <w:r w:rsidRPr="00550D73">
        <w:rPr>
          <w:i/>
          <w:iCs/>
        </w:rPr>
        <w:br/>
        <w:t>736 679 714</w:t>
      </w:r>
    </w:p>
    <w:p w14:paraId="5C0EFF61" w14:textId="77777777" w:rsidR="00E92989" w:rsidRPr="00550D73" w:rsidRDefault="00000000">
      <w:pPr>
        <w:pStyle w:val="Nadpis2"/>
        <w:keepNext w:val="0"/>
        <w:keepLines w:val="0"/>
        <w:spacing w:after="80"/>
        <w:rPr>
          <w:b/>
          <w:bCs/>
          <w:i/>
          <w:iCs/>
          <w:sz w:val="22"/>
          <w:szCs w:val="22"/>
        </w:rPr>
      </w:pPr>
      <w:bookmarkStart w:id="0" w:name="_heading=h.pbngbowiflgl" w:colFirst="0" w:colLast="0"/>
      <w:bookmarkEnd w:id="0"/>
      <w:r w:rsidRPr="00550D73">
        <w:rPr>
          <w:b/>
          <w:bCs/>
          <w:i/>
          <w:iCs/>
          <w:sz w:val="22"/>
          <w:szCs w:val="22"/>
        </w:rPr>
        <w:t>O Svazu českých knihkupců a nakladatelů</w:t>
      </w:r>
    </w:p>
    <w:p w14:paraId="46682672" w14:textId="77777777" w:rsidR="00E92989" w:rsidRPr="00550D73" w:rsidRDefault="00000000">
      <w:pPr>
        <w:spacing w:before="240" w:after="240"/>
        <w:jc w:val="both"/>
      </w:pPr>
      <w:r w:rsidRPr="00550D73">
        <w:rPr>
          <w:i/>
          <w:iCs/>
        </w:rPr>
        <w:t>Svaz českých knihkupců a nakladatelů (SČKN) je profesní organizace sdružující nakladatele, knihkupce a další subjekty knižního trhu v České republice. Dlouhodobě usiluje o rozvoj čtenářství, podporu knižní kultury a zlepšování podmínek pro vydávání a distribuci knih.</w:t>
      </w:r>
    </w:p>
    <w:sectPr w:rsidR="00E92989" w:rsidRPr="00550D73">
      <w:headerReference w:type="default" r:id="rId9"/>
      <w:footerReference w:type="default" r:id="rId1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9BE7A" w14:textId="77777777" w:rsidR="000A7056" w:rsidRDefault="000A7056">
      <w:pPr>
        <w:spacing w:line="240" w:lineRule="auto"/>
      </w:pPr>
      <w:r>
        <w:separator/>
      </w:r>
    </w:p>
  </w:endnote>
  <w:endnote w:type="continuationSeparator" w:id="0">
    <w:p w14:paraId="568F13E3" w14:textId="77777777" w:rsidR="000A7056" w:rsidRDefault="000A70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Italic r:id="rId1" w:fontKey="{8F796F68-E8A8-48C2-8DC1-8B3D722D7DF3}"/>
  </w:font>
  <w:font w:name="Roboto">
    <w:charset w:val="00"/>
    <w:family w:val="auto"/>
    <w:pitch w:val="variable"/>
    <w:sig w:usb0="E0000AFF" w:usb1="5000217F" w:usb2="00000021" w:usb3="00000000" w:csb0="0000019F" w:csb1="00000000"/>
    <w:embedItalic r:id="rId2" w:fontKey="{3F483F07-E81A-4E44-8E25-709F6628DDED}"/>
  </w:font>
  <w:font w:name="Calibri">
    <w:panose1 w:val="020F0502020204030204"/>
    <w:charset w:val="EE"/>
    <w:family w:val="swiss"/>
    <w:pitch w:val="variable"/>
    <w:sig w:usb0="E4002EFF" w:usb1="C200247B" w:usb2="00000009" w:usb3="00000000" w:csb0="000001FF" w:csb1="00000000"/>
    <w:embedRegular r:id="rId3" w:fontKey="{9FF8A799-D7A1-465C-9641-04D0C81B542F}"/>
  </w:font>
  <w:font w:name="Cambria">
    <w:panose1 w:val="02040503050406030204"/>
    <w:charset w:val="EE"/>
    <w:family w:val="roman"/>
    <w:pitch w:val="variable"/>
    <w:sig w:usb0="E00006FF" w:usb1="420024FF" w:usb2="02000000" w:usb3="00000000" w:csb0="0000019F" w:csb1="00000000"/>
    <w:embedRegular r:id="rId4" w:fontKey="{2B5435B9-1394-4662-88F0-2CB7DD550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3FA3B" w14:textId="77777777" w:rsidR="00E92989" w:rsidRDefault="00000000">
    <w:pPr>
      <w:pStyle w:val="Nadpis2"/>
      <w:keepNext w:val="0"/>
      <w:keepLines w:val="0"/>
      <w:spacing w:after="80"/>
      <w:rPr>
        <w:b/>
        <w:bCs/>
        <w:i/>
        <w:iCs/>
        <w:sz w:val="18"/>
        <w:szCs w:val="18"/>
      </w:rPr>
    </w:pPr>
    <w:r>
      <w:rPr>
        <w:b/>
        <w:bCs/>
        <w:i/>
        <w:iCs/>
        <w:sz w:val="18"/>
        <w:szCs w:val="18"/>
      </w:rPr>
      <w:t>O Svazu českých knihkupců a nakladatelů</w:t>
    </w:r>
  </w:p>
  <w:p w14:paraId="70E38345" w14:textId="77777777" w:rsidR="00E92989" w:rsidRDefault="00000000">
    <w:pPr>
      <w:spacing w:before="240" w:after="240"/>
      <w:jc w:val="both"/>
      <w:rPr>
        <w:sz w:val="18"/>
        <w:szCs w:val="18"/>
      </w:rPr>
    </w:pPr>
    <w:r>
      <w:rPr>
        <w:i/>
        <w:iCs/>
        <w:sz w:val="18"/>
        <w:szCs w:val="18"/>
      </w:rPr>
      <w:t>Svaz českých knihkupců a nakladatelů (SČKN) je profesní organizace sdružující nakladatele, knihkupce a další subjekty knižního trhu v České republice. Dlouhodobě usiluje o rozvoj čtenářství, podporu knižní kultury a zlepšování podmínek pro vydávání a distribuci knih.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23241" w14:textId="77777777" w:rsidR="000A7056" w:rsidRDefault="000A7056">
      <w:pPr>
        <w:spacing w:line="240" w:lineRule="auto"/>
      </w:pPr>
      <w:r>
        <w:separator/>
      </w:r>
    </w:p>
  </w:footnote>
  <w:footnote w:type="continuationSeparator" w:id="0">
    <w:p w14:paraId="5C9D6ACA" w14:textId="77777777" w:rsidR="000A7056" w:rsidRDefault="000A7056">
      <w:pPr>
        <w:spacing w:line="240" w:lineRule="auto"/>
      </w:pPr>
      <w:r>
        <w:continuationSeparator/>
      </w:r>
    </w:p>
  </w:footnote>
  <w:footnote w:id="1">
    <w:p w14:paraId="2B1C8C39" w14:textId="77777777" w:rsidR="00E92989" w:rsidRDefault="00000000">
      <w:pPr>
        <w:spacing w:line="240" w:lineRule="auto"/>
        <w:jc w:val="both"/>
        <w:rPr>
          <w:sz w:val="18"/>
          <w:szCs w:val="18"/>
        </w:rPr>
      </w:pPr>
      <w:r>
        <w:rPr>
          <w:vertAlign w:val="superscript"/>
        </w:rPr>
        <w:footnoteRef/>
      </w:r>
      <w:r>
        <w:rPr>
          <w:sz w:val="18"/>
          <w:szCs w:val="18"/>
        </w:rPr>
        <w:t xml:space="preserve"> </w:t>
      </w:r>
      <w:proofErr w:type="spellStart"/>
      <w:r>
        <w:rPr>
          <w:sz w:val="18"/>
          <w:szCs w:val="18"/>
        </w:rPr>
        <w:t>Federation</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European</w:t>
      </w:r>
      <w:proofErr w:type="spellEnd"/>
      <w:r>
        <w:rPr>
          <w:sz w:val="18"/>
          <w:szCs w:val="18"/>
        </w:rPr>
        <w:t xml:space="preserve"> </w:t>
      </w:r>
      <w:proofErr w:type="spellStart"/>
      <w:r>
        <w:rPr>
          <w:sz w:val="18"/>
          <w:szCs w:val="18"/>
        </w:rPr>
        <w:t>Publishers</w:t>
      </w:r>
      <w:proofErr w:type="spellEnd"/>
      <w:r>
        <w:rPr>
          <w:sz w:val="18"/>
          <w:szCs w:val="18"/>
        </w:rPr>
        <w:t>, prezentace Frankfurt 2025</w:t>
      </w:r>
      <w:r>
        <w:rPr>
          <w:rFonts w:ascii="Libre Baskerville" w:eastAsia="Libre Baskerville" w:hAnsi="Libre Baskerville" w:cs="Libre Baskerville"/>
          <w:i/>
          <w:iCs/>
          <w:color w:val="5F5F5F"/>
          <w:sz w:val="18"/>
          <w:szCs w:val="18"/>
        </w:rPr>
        <w:t>.</w:t>
      </w:r>
    </w:p>
  </w:footnote>
  <w:footnote w:id="2">
    <w:p w14:paraId="013C4353" w14:textId="77777777" w:rsidR="00E92989" w:rsidRDefault="00000000">
      <w:pPr>
        <w:spacing w:line="240" w:lineRule="auto"/>
        <w:jc w:val="both"/>
        <w:rPr>
          <w:sz w:val="18"/>
          <w:szCs w:val="18"/>
        </w:rPr>
      </w:pPr>
      <w:r>
        <w:rPr>
          <w:vertAlign w:val="superscript"/>
        </w:rPr>
        <w:footnoteRef/>
      </w:r>
      <w:r>
        <w:rPr>
          <w:sz w:val="18"/>
          <w:szCs w:val="18"/>
        </w:rPr>
        <w:t xml:space="preserve"> </w:t>
      </w:r>
      <w:proofErr w:type="spellStart"/>
      <w:r>
        <w:rPr>
          <w:sz w:val="18"/>
          <w:szCs w:val="18"/>
        </w:rPr>
        <w:t>Bavishi</w:t>
      </w:r>
      <w:proofErr w:type="spellEnd"/>
      <w:r>
        <w:rPr>
          <w:sz w:val="18"/>
          <w:szCs w:val="18"/>
        </w:rPr>
        <w:t xml:space="preserve">, A., Slade, M. D., &amp; </w:t>
      </w:r>
      <w:proofErr w:type="spellStart"/>
      <w:r>
        <w:rPr>
          <w:sz w:val="18"/>
          <w:szCs w:val="18"/>
        </w:rPr>
        <w:t>Levy</w:t>
      </w:r>
      <w:proofErr w:type="spellEnd"/>
      <w:r>
        <w:rPr>
          <w:sz w:val="18"/>
          <w:szCs w:val="18"/>
        </w:rPr>
        <w:t xml:space="preserve">, B. R. (2016). A </w:t>
      </w:r>
      <w:proofErr w:type="spellStart"/>
      <w:r>
        <w:rPr>
          <w:sz w:val="18"/>
          <w:szCs w:val="18"/>
        </w:rPr>
        <w:t>chapter</w:t>
      </w:r>
      <w:proofErr w:type="spellEnd"/>
      <w:r>
        <w:rPr>
          <w:sz w:val="18"/>
          <w:szCs w:val="18"/>
        </w:rPr>
        <w:t xml:space="preserve"> a </w:t>
      </w:r>
      <w:proofErr w:type="spellStart"/>
      <w:r>
        <w:rPr>
          <w:sz w:val="18"/>
          <w:szCs w:val="18"/>
        </w:rPr>
        <w:t>day</w:t>
      </w:r>
      <w:proofErr w:type="spellEnd"/>
      <w:r>
        <w:rPr>
          <w:sz w:val="18"/>
          <w:szCs w:val="18"/>
        </w:rPr>
        <w:t xml:space="preserve">: </w:t>
      </w:r>
      <w:proofErr w:type="spellStart"/>
      <w:r>
        <w:rPr>
          <w:sz w:val="18"/>
          <w:szCs w:val="18"/>
        </w:rPr>
        <w:t>Association</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book</w:t>
      </w:r>
      <w:proofErr w:type="spellEnd"/>
      <w:r>
        <w:rPr>
          <w:sz w:val="18"/>
          <w:szCs w:val="18"/>
        </w:rPr>
        <w:t xml:space="preserve"> </w:t>
      </w:r>
      <w:proofErr w:type="spellStart"/>
      <w:r>
        <w:rPr>
          <w:sz w:val="18"/>
          <w:szCs w:val="18"/>
        </w:rPr>
        <w:t>reading</w:t>
      </w:r>
      <w:proofErr w:type="spellEnd"/>
      <w:r>
        <w:rPr>
          <w:sz w:val="18"/>
          <w:szCs w:val="18"/>
        </w:rPr>
        <w:t xml:space="preserve"> </w:t>
      </w:r>
      <w:proofErr w:type="spellStart"/>
      <w:r>
        <w:rPr>
          <w:sz w:val="18"/>
          <w:szCs w:val="18"/>
        </w:rPr>
        <w:t>with</w:t>
      </w:r>
      <w:proofErr w:type="spellEnd"/>
      <w:r>
        <w:rPr>
          <w:sz w:val="18"/>
          <w:szCs w:val="18"/>
        </w:rPr>
        <w:t xml:space="preserve"> </w:t>
      </w:r>
      <w:proofErr w:type="spellStart"/>
      <w:r>
        <w:rPr>
          <w:sz w:val="18"/>
          <w:szCs w:val="18"/>
        </w:rPr>
        <w:t>longevity</w:t>
      </w:r>
      <w:proofErr w:type="spellEnd"/>
      <w:r>
        <w:rPr>
          <w:sz w:val="18"/>
          <w:szCs w:val="18"/>
        </w:rPr>
        <w:t xml:space="preserve">. </w:t>
      </w:r>
      <w:proofErr w:type="spellStart"/>
      <w:r>
        <w:rPr>
          <w:sz w:val="18"/>
          <w:szCs w:val="18"/>
        </w:rPr>
        <w:t>Social</w:t>
      </w:r>
      <w:proofErr w:type="spellEnd"/>
      <w:r>
        <w:rPr>
          <w:sz w:val="18"/>
          <w:szCs w:val="18"/>
        </w:rPr>
        <w:t xml:space="preserve"> Science &amp; </w:t>
      </w:r>
      <w:proofErr w:type="spellStart"/>
      <w:r>
        <w:rPr>
          <w:sz w:val="18"/>
          <w:szCs w:val="18"/>
        </w:rPr>
        <w:t>Medicine</w:t>
      </w:r>
      <w:proofErr w:type="spellEnd"/>
      <w:r>
        <w:rPr>
          <w:sz w:val="18"/>
          <w:szCs w:val="18"/>
        </w:rPr>
        <w:t>, 164, 44–48.</w:t>
      </w:r>
    </w:p>
  </w:footnote>
  <w:footnote w:id="3">
    <w:p w14:paraId="7FEF67BE" w14:textId="77777777" w:rsidR="00E92989" w:rsidRDefault="00000000">
      <w:pPr>
        <w:spacing w:line="240" w:lineRule="auto"/>
        <w:jc w:val="both"/>
        <w:rPr>
          <w:sz w:val="18"/>
          <w:szCs w:val="18"/>
        </w:rPr>
      </w:pPr>
      <w:r>
        <w:rPr>
          <w:vertAlign w:val="superscript"/>
        </w:rPr>
        <w:footnoteRef/>
      </w:r>
      <w:r>
        <w:rPr>
          <w:sz w:val="18"/>
          <w:szCs w:val="18"/>
        </w:rPr>
        <w:t xml:space="preserve"> </w:t>
      </w:r>
      <w:proofErr w:type="spellStart"/>
      <w:r>
        <w:rPr>
          <w:sz w:val="18"/>
          <w:szCs w:val="18"/>
        </w:rPr>
        <w:t>Law</w:t>
      </w:r>
      <w:proofErr w:type="spellEnd"/>
      <w:r>
        <w:rPr>
          <w:sz w:val="18"/>
          <w:szCs w:val="18"/>
        </w:rPr>
        <w:t xml:space="preserve">, J., </w:t>
      </w:r>
      <w:proofErr w:type="spellStart"/>
      <w:r>
        <w:rPr>
          <w:sz w:val="18"/>
          <w:szCs w:val="18"/>
        </w:rPr>
        <w:t>Charlton</w:t>
      </w:r>
      <w:proofErr w:type="spellEnd"/>
      <w:r>
        <w:rPr>
          <w:sz w:val="18"/>
          <w:szCs w:val="18"/>
        </w:rPr>
        <w:t xml:space="preserve">, J., </w:t>
      </w:r>
      <w:proofErr w:type="spellStart"/>
      <w:r>
        <w:rPr>
          <w:sz w:val="18"/>
          <w:szCs w:val="18"/>
        </w:rPr>
        <w:t>McKean</w:t>
      </w:r>
      <w:proofErr w:type="spellEnd"/>
      <w:r>
        <w:rPr>
          <w:sz w:val="18"/>
          <w:szCs w:val="18"/>
        </w:rPr>
        <w:t xml:space="preserve">, C., </w:t>
      </w:r>
      <w:proofErr w:type="spellStart"/>
      <w:r>
        <w:rPr>
          <w:sz w:val="18"/>
          <w:szCs w:val="18"/>
        </w:rPr>
        <w:t>Beyer</w:t>
      </w:r>
      <w:proofErr w:type="spellEnd"/>
      <w:r>
        <w:rPr>
          <w:sz w:val="18"/>
          <w:szCs w:val="18"/>
        </w:rPr>
        <w:t xml:space="preserve">, F., </w:t>
      </w:r>
      <w:proofErr w:type="spellStart"/>
      <w:r>
        <w:rPr>
          <w:sz w:val="18"/>
          <w:szCs w:val="18"/>
        </w:rPr>
        <w:t>Fernandez-García</w:t>
      </w:r>
      <w:proofErr w:type="spellEnd"/>
      <w:r>
        <w:rPr>
          <w:sz w:val="18"/>
          <w:szCs w:val="18"/>
        </w:rPr>
        <w:t xml:space="preserve">, C., </w:t>
      </w:r>
      <w:proofErr w:type="spellStart"/>
      <w:r>
        <w:rPr>
          <w:sz w:val="18"/>
          <w:szCs w:val="18"/>
        </w:rPr>
        <w:t>Mashayekhi</w:t>
      </w:r>
      <w:proofErr w:type="spellEnd"/>
      <w:r>
        <w:rPr>
          <w:sz w:val="18"/>
          <w:szCs w:val="18"/>
        </w:rPr>
        <w:t xml:space="preserve">, A., &amp; </w:t>
      </w:r>
      <w:proofErr w:type="spellStart"/>
      <w:r>
        <w:rPr>
          <w:sz w:val="18"/>
          <w:szCs w:val="18"/>
        </w:rPr>
        <w:t>Rush</w:t>
      </w:r>
      <w:proofErr w:type="spellEnd"/>
      <w:r>
        <w:rPr>
          <w:sz w:val="18"/>
          <w:szCs w:val="18"/>
        </w:rPr>
        <w:t xml:space="preserve">, R. (2020). </w:t>
      </w:r>
      <w:proofErr w:type="spellStart"/>
      <w:r>
        <w:rPr>
          <w:sz w:val="18"/>
          <w:szCs w:val="18"/>
        </w:rPr>
        <w:t>Parent</w:t>
      </w:r>
      <w:proofErr w:type="spellEnd"/>
      <w:r>
        <w:rPr>
          <w:sz w:val="18"/>
          <w:szCs w:val="18"/>
        </w:rPr>
        <w:t>–</w:t>
      </w:r>
      <w:proofErr w:type="spellStart"/>
      <w:r>
        <w:rPr>
          <w:sz w:val="18"/>
          <w:szCs w:val="18"/>
        </w:rPr>
        <w:t>child</w:t>
      </w:r>
      <w:proofErr w:type="spellEnd"/>
      <w:r>
        <w:rPr>
          <w:sz w:val="18"/>
          <w:szCs w:val="18"/>
        </w:rPr>
        <w:t xml:space="preserve"> </w:t>
      </w:r>
      <w:proofErr w:type="spellStart"/>
      <w:r>
        <w:rPr>
          <w:sz w:val="18"/>
          <w:szCs w:val="18"/>
        </w:rPr>
        <w:t>reading</w:t>
      </w:r>
      <w:proofErr w:type="spellEnd"/>
      <w:r>
        <w:rPr>
          <w:sz w:val="18"/>
          <w:szCs w:val="18"/>
        </w:rPr>
        <w:t xml:space="preserve"> to </w:t>
      </w:r>
      <w:proofErr w:type="spellStart"/>
      <w:r>
        <w:rPr>
          <w:sz w:val="18"/>
          <w:szCs w:val="18"/>
        </w:rPr>
        <w:t>improve</w:t>
      </w:r>
      <w:proofErr w:type="spellEnd"/>
      <w:r>
        <w:rPr>
          <w:sz w:val="18"/>
          <w:szCs w:val="18"/>
        </w:rPr>
        <w:t xml:space="preserve"> </w:t>
      </w:r>
      <w:proofErr w:type="spellStart"/>
      <w:r>
        <w:rPr>
          <w:sz w:val="18"/>
          <w:szCs w:val="18"/>
        </w:rPr>
        <w:t>language</w:t>
      </w:r>
      <w:proofErr w:type="spellEnd"/>
      <w:r>
        <w:rPr>
          <w:sz w:val="18"/>
          <w:szCs w:val="18"/>
        </w:rPr>
        <w:t xml:space="preserve"> development and </w:t>
      </w:r>
      <w:proofErr w:type="spellStart"/>
      <w:r>
        <w:rPr>
          <w:sz w:val="18"/>
          <w:szCs w:val="18"/>
        </w:rPr>
        <w:t>school</w:t>
      </w:r>
      <w:proofErr w:type="spellEnd"/>
      <w:r>
        <w:rPr>
          <w:sz w:val="18"/>
          <w:szCs w:val="18"/>
        </w:rPr>
        <w:t xml:space="preserve"> </w:t>
      </w:r>
      <w:proofErr w:type="spellStart"/>
      <w:r>
        <w:rPr>
          <w:sz w:val="18"/>
          <w:szCs w:val="18"/>
        </w:rPr>
        <w:t>readiness</w:t>
      </w:r>
      <w:proofErr w:type="spellEnd"/>
      <w:r>
        <w:rPr>
          <w:sz w:val="18"/>
          <w:szCs w:val="18"/>
        </w:rPr>
        <w:t xml:space="preserve">: A </w:t>
      </w:r>
      <w:proofErr w:type="spellStart"/>
      <w:r>
        <w:rPr>
          <w:sz w:val="18"/>
          <w:szCs w:val="18"/>
        </w:rPr>
        <w:t>systematic</w:t>
      </w:r>
      <w:proofErr w:type="spellEnd"/>
      <w:r>
        <w:rPr>
          <w:sz w:val="18"/>
          <w:szCs w:val="18"/>
        </w:rPr>
        <w:t xml:space="preserve"> </w:t>
      </w:r>
      <w:proofErr w:type="spellStart"/>
      <w:r>
        <w:rPr>
          <w:sz w:val="18"/>
          <w:szCs w:val="18"/>
        </w:rPr>
        <w:t>review</w:t>
      </w:r>
      <w:proofErr w:type="spellEnd"/>
      <w:r>
        <w:rPr>
          <w:sz w:val="18"/>
          <w:szCs w:val="18"/>
        </w:rPr>
        <w:t xml:space="preserve"> and meta-</w:t>
      </w:r>
      <w:proofErr w:type="spellStart"/>
      <w:r>
        <w:rPr>
          <w:sz w:val="18"/>
          <w:szCs w:val="18"/>
        </w:rPr>
        <w:t>analysis</w:t>
      </w:r>
      <w:proofErr w:type="spellEnd"/>
      <w:r>
        <w:rPr>
          <w:sz w:val="18"/>
          <w:szCs w:val="18"/>
        </w:rPr>
        <w:t>. Newcastle University, UK.</w:t>
      </w:r>
    </w:p>
  </w:footnote>
  <w:footnote w:id="4">
    <w:p w14:paraId="1E6BE4C1" w14:textId="77777777" w:rsidR="00E92989" w:rsidRDefault="00000000">
      <w:pPr>
        <w:spacing w:line="240" w:lineRule="auto"/>
        <w:jc w:val="both"/>
        <w:rPr>
          <w:sz w:val="18"/>
          <w:szCs w:val="18"/>
        </w:rPr>
      </w:pPr>
      <w:r>
        <w:rPr>
          <w:vertAlign w:val="superscript"/>
        </w:rPr>
        <w:footnoteRef/>
      </w:r>
      <w:r>
        <w:rPr>
          <w:sz w:val="18"/>
          <w:szCs w:val="18"/>
        </w:rPr>
        <w:t xml:space="preserve"> </w:t>
      </w:r>
      <w:proofErr w:type="spellStart"/>
      <w:r>
        <w:rPr>
          <w:sz w:val="18"/>
          <w:szCs w:val="18"/>
        </w:rPr>
        <w:t>Chang</w:t>
      </w:r>
      <w:proofErr w:type="spellEnd"/>
      <w:r>
        <w:rPr>
          <w:sz w:val="18"/>
          <w:szCs w:val="18"/>
        </w:rPr>
        <w:t xml:space="preserve">, Y.-H., </w:t>
      </w:r>
      <w:proofErr w:type="spellStart"/>
      <w:r>
        <w:rPr>
          <w:sz w:val="18"/>
          <w:szCs w:val="18"/>
        </w:rPr>
        <w:t>Wu</w:t>
      </w:r>
      <w:proofErr w:type="spellEnd"/>
      <w:r>
        <w:rPr>
          <w:sz w:val="18"/>
          <w:szCs w:val="18"/>
        </w:rPr>
        <w:t xml:space="preserve">, I.-C., &amp; </w:t>
      </w:r>
      <w:proofErr w:type="spellStart"/>
      <w:r>
        <w:rPr>
          <w:sz w:val="18"/>
          <w:szCs w:val="18"/>
        </w:rPr>
        <w:t>Hsiung</w:t>
      </w:r>
      <w:proofErr w:type="spellEnd"/>
      <w:r>
        <w:rPr>
          <w:sz w:val="18"/>
          <w:szCs w:val="18"/>
        </w:rPr>
        <w:t xml:space="preserve">, C. A. (2021). </w:t>
      </w:r>
      <w:proofErr w:type="spellStart"/>
      <w:r>
        <w:rPr>
          <w:sz w:val="18"/>
          <w:szCs w:val="18"/>
        </w:rPr>
        <w:t>Reading</w:t>
      </w:r>
      <w:proofErr w:type="spellEnd"/>
      <w:r>
        <w:rPr>
          <w:sz w:val="18"/>
          <w:szCs w:val="18"/>
        </w:rPr>
        <w:t xml:space="preserve"> </w:t>
      </w:r>
      <w:proofErr w:type="spellStart"/>
      <w:r>
        <w:rPr>
          <w:sz w:val="18"/>
          <w:szCs w:val="18"/>
        </w:rPr>
        <w:t>activity</w:t>
      </w:r>
      <w:proofErr w:type="spellEnd"/>
      <w:r>
        <w:rPr>
          <w:sz w:val="18"/>
          <w:szCs w:val="18"/>
        </w:rPr>
        <w:t xml:space="preserve"> </w:t>
      </w:r>
      <w:proofErr w:type="spellStart"/>
      <w:r>
        <w:rPr>
          <w:sz w:val="18"/>
          <w:szCs w:val="18"/>
        </w:rPr>
        <w:t>prevents</w:t>
      </w:r>
      <w:proofErr w:type="spellEnd"/>
      <w:r>
        <w:rPr>
          <w:sz w:val="18"/>
          <w:szCs w:val="18"/>
        </w:rPr>
        <w:t xml:space="preserve"> long-term </w:t>
      </w:r>
      <w:proofErr w:type="spellStart"/>
      <w:r>
        <w:rPr>
          <w:sz w:val="18"/>
          <w:szCs w:val="18"/>
        </w:rPr>
        <w:t>decline</w:t>
      </w:r>
      <w:proofErr w:type="spellEnd"/>
      <w:r>
        <w:rPr>
          <w:sz w:val="18"/>
          <w:szCs w:val="18"/>
        </w:rPr>
        <w:t xml:space="preserve"> in </w:t>
      </w:r>
      <w:proofErr w:type="spellStart"/>
      <w:r>
        <w:rPr>
          <w:sz w:val="18"/>
          <w:szCs w:val="18"/>
        </w:rPr>
        <w:t>cognitive</w:t>
      </w:r>
      <w:proofErr w:type="spellEnd"/>
      <w:r>
        <w:rPr>
          <w:sz w:val="18"/>
          <w:szCs w:val="18"/>
        </w:rPr>
        <w:t xml:space="preserve"> </w:t>
      </w:r>
      <w:proofErr w:type="spellStart"/>
      <w:r>
        <w:rPr>
          <w:sz w:val="18"/>
          <w:szCs w:val="18"/>
        </w:rPr>
        <w:t>function</w:t>
      </w:r>
      <w:proofErr w:type="spellEnd"/>
      <w:r>
        <w:rPr>
          <w:sz w:val="18"/>
          <w:szCs w:val="18"/>
        </w:rPr>
        <w:t xml:space="preserve"> in </w:t>
      </w:r>
      <w:proofErr w:type="spellStart"/>
      <w:r>
        <w:rPr>
          <w:sz w:val="18"/>
          <w:szCs w:val="18"/>
        </w:rPr>
        <w:t>older</w:t>
      </w:r>
      <w:proofErr w:type="spellEnd"/>
      <w:r>
        <w:rPr>
          <w:sz w:val="18"/>
          <w:szCs w:val="18"/>
        </w:rPr>
        <w:t xml:space="preserve"> </w:t>
      </w:r>
      <w:proofErr w:type="spellStart"/>
      <w:r>
        <w:rPr>
          <w:sz w:val="18"/>
          <w:szCs w:val="18"/>
        </w:rPr>
        <w:t>people</w:t>
      </w:r>
      <w:proofErr w:type="spellEnd"/>
      <w:r>
        <w:rPr>
          <w:sz w:val="18"/>
          <w:szCs w:val="18"/>
        </w:rPr>
        <w:t xml:space="preserve">: Evidence </w:t>
      </w:r>
      <w:proofErr w:type="spellStart"/>
      <w:r>
        <w:rPr>
          <w:sz w:val="18"/>
          <w:szCs w:val="18"/>
        </w:rPr>
        <w:t>from</w:t>
      </w:r>
      <w:proofErr w:type="spellEnd"/>
      <w:r>
        <w:rPr>
          <w:sz w:val="18"/>
          <w:szCs w:val="18"/>
        </w:rPr>
        <w:t xml:space="preserve"> a </w:t>
      </w:r>
      <w:proofErr w:type="gramStart"/>
      <w:r>
        <w:rPr>
          <w:sz w:val="18"/>
          <w:szCs w:val="18"/>
        </w:rPr>
        <w:t>14-year</w:t>
      </w:r>
      <w:proofErr w:type="gramEnd"/>
      <w:r>
        <w:rPr>
          <w:sz w:val="18"/>
          <w:szCs w:val="18"/>
        </w:rPr>
        <w:t xml:space="preserve"> </w:t>
      </w:r>
      <w:proofErr w:type="spellStart"/>
      <w:r>
        <w:rPr>
          <w:sz w:val="18"/>
          <w:szCs w:val="18"/>
        </w:rPr>
        <w:t>longitudinal</w:t>
      </w:r>
      <w:proofErr w:type="spellEnd"/>
      <w:r>
        <w:rPr>
          <w:sz w:val="18"/>
          <w:szCs w:val="18"/>
        </w:rPr>
        <w:t xml:space="preserve"> study. International </w:t>
      </w:r>
      <w:proofErr w:type="spellStart"/>
      <w:r>
        <w:rPr>
          <w:sz w:val="18"/>
          <w:szCs w:val="18"/>
        </w:rPr>
        <w:t>Psychogeriatrics</w:t>
      </w:r>
      <w:proofErr w:type="spellEnd"/>
      <w:r>
        <w:rPr>
          <w:sz w:val="18"/>
          <w:szCs w:val="18"/>
        </w:rPr>
        <w:t>, 33(1), 63–74.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F3A99" w14:textId="77777777" w:rsidR="00E92989" w:rsidRDefault="00000000">
    <w:pPr>
      <w:pBdr>
        <w:top w:val="nil"/>
        <w:left w:val="nil"/>
        <w:bottom w:val="nil"/>
        <w:right w:val="nil"/>
        <w:between w:val="nil"/>
      </w:pBdr>
      <w:tabs>
        <w:tab w:val="center" w:pos="4680"/>
        <w:tab w:val="right" w:pos="9360"/>
      </w:tabs>
      <w:spacing w:line="240" w:lineRule="auto"/>
      <w:rPr>
        <w:color w:val="000000"/>
      </w:rPr>
    </w:pPr>
    <w:r>
      <w:rPr>
        <w:noProof/>
      </w:rPr>
      <w:drawing>
        <wp:anchor distT="0" distB="0" distL="114300" distR="114300" simplePos="0" relativeHeight="251658240" behindDoc="0" locked="0" layoutInCell="1" hidden="0" allowOverlap="1" wp14:anchorId="43DF7BF8" wp14:editId="6FA3A4D8">
          <wp:simplePos x="0" y="0"/>
          <wp:positionH relativeFrom="margin">
            <wp:posOffset>5026350</wp:posOffset>
          </wp:positionH>
          <wp:positionV relativeFrom="margin">
            <wp:posOffset>-704849</wp:posOffset>
          </wp:positionV>
          <wp:extent cx="706120" cy="693420"/>
          <wp:effectExtent l="0" t="0" r="0" b="0"/>
          <wp:wrapSquare wrapText="bothSides" distT="0" distB="0" distL="114300" distR="114300"/>
          <wp:docPr id="2" name="image1.png" descr="Obrázek 4"/>
          <wp:cNvGraphicFramePr/>
          <a:graphic xmlns:a="http://schemas.openxmlformats.org/drawingml/2006/main">
            <a:graphicData uri="http://schemas.openxmlformats.org/drawingml/2006/picture">
              <pic:pic xmlns:pic="http://schemas.openxmlformats.org/drawingml/2006/picture">
                <pic:nvPicPr>
                  <pic:cNvPr id="0" name="image1.png" descr="Obrázek 4"/>
                  <pic:cNvPicPr preferRelativeResize="0"/>
                </pic:nvPicPr>
                <pic:blipFill>
                  <a:blip r:embed="rId1"/>
                  <a:srcRect/>
                  <a:stretch>
                    <a:fillRect/>
                  </a:stretch>
                </pic:blipFill>
                <pic:spPr>
                  <a:xfrm>
                    <a:off x="0" y="0"/>
                    <a:ext cx="706120" cy="693420"/>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73F7E4CE" wp14:editId="0811BA16">
          <wp:simplePos x="0" y="0"/>
          <wp:positionH relativeFrom="column">
            <wp:posOffset>1</wp:posOffset>
          </wp:positionH>
          <wp:positionV relativeFrom="paragraph">
            <wp:posOffset>-247649</wp:posOffset>
          </wp:positionV>
          <wp:extent cx="1262063" cy="61426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62063" cy="6142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989"/>
    <w:rsid w:val="00065F08"/>
    <w:rsid w:val="000A7056"/>
    <w:rsid w:val="00543093"/>
    <w:rsid w:val="00550D73"/>
    <w:rsid w:val="00721E27"/>
    <w:rsid w:val="008E0D11"/>
    <w:rsid w:val="00D857AF"/>
    <w:rsid w:val="00E929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5E550"/>
  <w15:docId w15:val="{2C184F20-157E-D24E-B690-9610FC0A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lara.sochorova@insighters.cz" TargetMode="External"/><Relationship Id="rId3" Type="http://schemas.openxmlformats.org/officeDocument/2006/relationships/settings" Target="settings.xml"/><Relationship Id="rId7" Type="http://schemas.openxmlformats.org/officeDocument/2006/relationships/hyperlink" Target="mailto:jana.bartakova@insighters.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h+I9jTUFdLMdOC2QpvQv+3WCw==">CgMxLjAyDmgucGJuZ2Jvd2lmbGdsOAByITFIRE1wUmZKUkVITlJmT1VvRS03M2N4NEd1dXQ5Tk4wLQ==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921</Words>
  <Characters>5434</Characters>
  <Application>Microsoft Office Word</Application>
  <DocSecurity>0</DocSecurity>
  <Lines>45</Lines>
  <Paragraphs>12</Paragraphs>
  <ScaleCrop>false</ScaleCrop>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Marcela Turečková</cp:lastModifiedBy>
  <cp:revision>2</cp:revision>
  <dcterms:created xsi:type="dcterms:W3CDTF">2026-04-24T12:23:00Z</dcterms:created>
  <dcterms:modified xsi:type="dcterms:W3CDTF">2026-04-24T12:23:00Z</dcterms:modified>
</cp:coreProperties>
</file>